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9B" w:rsidRDefault="009A2E9B" w:rsidP="009A2E9B">
      <w:pPr>
        <w:shd w:val="clear" w:color="auto" w:fill="FFFFFF"/>
        <w:spacing w:after="0" w:line="300" w:lineRule="atLeast"/>
        <w:textAlignment w:val="baseline"/>
        <w:rPr>
          <w:rFonts w:ascii="Arial" w:eastAsia="Times New Roman" w:hAnsi="Arial" w:cs="Arial"/>
          <w:b/>
          <w:bCs/>
          <w:color w:val="595959" w:themeColor="text1" w:themeTint="A6"/>
          <w:sz w:val="24"/>
          <w:szCs w:val="24"/>
        </w:rPr>
      </w:pPr>
      <w:r w:rsidRPr="009A2E9B">
        <w:rPr>
          <w:rFonts w:ascii="Arial" w:eastAsia="Times New Roman" w:hAnsi="Arial" w:cs="Arial"/>
          <w:b/>
          <w:bCs/>
          <w:color w:val="595959" w:themeColor="text1" w:themeTint="A6"/>
          <w:sz w:val="24"/>
          <w:szCs w:val="24"/>
        </w:rPr>
        <w:t>David Gaw</w:t>
      </w:r>
    </w:p>
    <w:p w:rsidR="009A2E9B" w:rsidRPr="009A2E9B" w:rsidRDefault="007E3148" w:rsidP="009A2E9B">
      <w:pPr>
        <w:shd w:val="clear" w:color="auto" w:fill="FFFFFF"/>
        <w:spacing w:after="0" w:line="300" w:lineRule="atLeast"/>
        <w:textAlignment w:val="baseline"/>
        <w:rPr>
          <w:rFonts w:ascii="Arial" w:eastAsia="Times New Roman" w:hAnsi="Arial" w:cs="Arial"/>
          <w:color w:val="595959" w:themeColor="text1" w:themeTint="A6"/>
          <w:sz w:val="24"/>
          <w:szCs w:val="24"/>
        </w:rPr>
      </w:pPr>
      <w:r w:rsidRPr="007E3148">
        <w:rPr>
          <w:rFonts w:ascii="Arial" w:eastAsia="Times New Roman" w:hAnsi="Arial" w:cs="Arial"/>
          <w:color w:val="555555"/>
          <w:sz w:val="24"/>
          <w:szCs w:val="24"/>
        </w:rPr>
        <w:br/>
      </w:r>
      <w:r w:rsidR="009A2E9B">
        <w:rPr>
          <w:rFonts w:ascii="inherit" w:eastAsia="Times New Roman" w:hAnsi="inherit" w:cs="Arial"/>
          <w:noProof/>
          <w:color w:val="333333"/>
          <w:sz w:val="18"/>
          <w:szCs w:val="18"/>
        </w:rPr>
        <w:drawing>
          <wp:inline distT="0" distB="0" distL="0" distR="0" wp14:anchorId="4F65D855" wp14:editId="112908CD">
            <wp:extent cx="1800225" cy="1800225"/>
            <wp:effectExtent l="0" t="0" r="9525" b="9525"/>
            <wp:docPr id="2" name="Picture 2" descr="David G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Ga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Pr="007E3148">
        <w:rPr>
          <w:rFonts w:ascii="Arial" w:eastAsia="Times New Roman" w:hAnsi="Arial" w:cs="Arial"/>
          <w:color w:val="555555"/>
          <w:sz w:val="24"/>
          <w:szCs w:val="24"/>
        </w:rPr>
        <w:br/>
      </w:r>
      <w:r w:rsidRPr="007E3148">
        <w:rPr>
          <w:rFonts w:ascii="Arial" w:eastAsia="Times New Roman" w:hAnsi="Arial" w:cs="Arial"/>
          <w:color w:val="555555"/>
          <w:sz w:val="24"/>
          <w:szCs w:val="24"/>
        </w:rPr>
        <w:br/>
      </w:r>
      <w:r w:rsidR="00DE2FD0" w:rsidRPr="009A2E9B">
        <w:rPr>
          <w:rFonts w:ascii="Arial" w:eastAsia="Times New Roman" w:hAnsi="Arial" w:cs="Arial"/>
          <w:color w:val="595959" w:themeColor="text1" w:themeTint="A6"/>
          <w:sz w:val="24"/>
          <w:szCs w:val="24"/>
        </w:rPr>
        <w:t>Independent Director/Chairman of the Audit Committee at Plymouth Opportunity REIT,</w:t>
      </w:r>
      <w:r w:rsidR="00DE2FD0">
        <w:rPr>
          <w:rFonts w:ascii="Arial" w:eastAsia="Times New Roman" w:hAnsi="Arial" w:cs="Arial"/>
          <w:color w:val="595959" w:themeColor="text1" w:themeTint="A6"/>
          <w:sz w:val="24"/>
          <w:szCs w:val="24"/>
        </w:rPr>
        <w:t xml:space="preserve"> </w:t>
      </w:r>
      <w:r w:rsidR="00DE2FD0" w:rsidRPr="009A2E9B">
        <w:rPr>
          <w:rFonts w:ascii="Arial" w:eastAsia="Times New Roman" w:hAnsi="Arial" w:cs="Arial"/>
          <w:color w:val="595959" w:themeColor="text1" w:themeTint="A6"/>
          <w:sz w:val="24"/>
          <w:szCs w:val="24"/>
        </w:rPr>
        <w:t>Inc.</w:t>
      </w:r>
    </w:p>
    <w:tbl>
      <w:tblPr>
        <w:tblW w:w="94" w:type="dxa"/>
        <w:tblCellMar>
          <w:left w:w="0" w:type="dxa"/>
          <w:right w:w="0" w:type="dxa"/>
        </w:tblCellMar>
        <w:tblLook w:val="04A0" w:firstRow="1" w:lastRow="0" w:firstColumn="1" w:lastColumn="0" w:noHBand="0" w:noVBand="1"/>
        <w:tblDescription w:val="Overview for David Gaw"/>
      </w:tblPr>
      <w:tblGrid>
        <w:gridCol w:w="306"/>
        <w:gridCol w:w="6"/>
      </w:tblGrid>
      <w:tr w:rsidR="009A2E9B" w:rsidRPr="00DE2FD0" w:rsidTr="00DE2FD0">
        <w:trPr>
          <w:trHeight w:val="243"/>
        </w:trPr>
        <w:tc>
          <w:tcPr>
            <w:tcW w:w="0" w:type="auto"/>
            <w:tcBorders>
              <w:top w:val="nil"/>
              <w:left w:val="nil"/>
              <w:bottom w:val="nil"/>
              <w:right w:val="nil"/>
            </w:tcBorders>
            <w:noWrap/>
            <w:tcMar>
              <w:top w:w="30" w:type="dxa"/>
              <w:left w:w="0" w:type="dxa"/>
              <w:bottom w:w="0" w:type="dxa"/>
              <w:right w:w="300" w:type="dxa"/>
            </w:tcMar>
          </w:tcPr>
          <w:p w:rsidR="009A2E9B" w:rsidRPr="00DE2FD0" w:rsidRDefault="009A2E9B" w:rsidP="009A2E9B">
            <w:pPr>
              <w:spacing w:after="0" w:line="240" w:lineRule="auto"/>
              <w:rPr>
                <w:rFonts w:ascii="Arial" w:eastAsia="Times New Roman" w:hAnsi="Arial" w:cs="Arial"/>
                <w:color w:val="595959" w:themeColor="text1" w:themeTint="A6"/>
                <w:sz w:val="6"/>
                <w:szCs w:val="24"/>
              </w:rPr>
            </w:pPr>
          </w:p>
        </w:tc>
        <w:tc>
          <w:tcPr>
            <w:tcW w:w="6" w:type="dxa"/>
            <w:tcBorders>
              <w:top w:val="nil"/>
              <w:left w:val="nil"/>
              <w:bottom w:val="nil"/>
              <w:right w:val="nil"/>
            </w:tcBorders>
            <w:tcMar>
              <w:top w:w="30" w:type="dxa"/>
              <w:left w:w="0" w:type="dxa"/>
              <w:bottom w:w="0" w:type="dxa"/>
              <w:right w:w="0" w:type="dxa"/>
            </w:tcMar>
            <w:vAlign w:val="center"/>
          </w:tcPr>
          <w:p w:rsidR="009A2E9B" w:rsidRPr="00DE2FD0" w:rsidRDefault="009A2E9B" w:rsidP="00DE2FD0">
            <w:pPr>
              <w:spacing w:after="0" w:line="240" w:lineRule="auto"/>
              <w:textAlignment w:val="baseline"/>
              <w:rPr>
                <w:rFonts w:ascii="Arial" w:eastAsia="Times New Roman" w:hAnsi="Arial" w:cs="Arial"/>
                <w:color w:val="595959" w:themeColor="text1" w:themeTint="A6"/>
                <w:sz w:val="6"/>
                <w:szCs w:val="24"/>
              </w:rPr>
            </w:pPr>
          </w:p>
        </w:tc>
      </w:tr>
      <w:tr w:rsidR="009A2E9B" w:rsidRPr="00DE2FD0" w:rsidTr="00DE2FD0">
        <w:trPr>
          <w:trHeight w:val="256"/>
        </w:trPr>
        <w:tc>
          <w:tcPr>
            <w:tcW w:w="0" w:type="auto"/>
            <w:tcBorders>
              <w:top w:val="nil"/>
              <w:left w:val="nil"/>
              <w:bottom w:val="nil"/>
              <w:right w:val="nil"/>
            </w:tcBorders>
            <w:noWrap/>
            <w:tcMar>
              <w:top w:w="30" w:type="dxa"/>
              <w:left w:w="0" w:type="dxa"/>
              <w:bottom w:w="0" w:type="dxa"/>
              <w:right w:w="300" w:type="dxa"/>
            </w:tcMar>
          </w:tcPr>
          <w:p w:rsidR="009A2E9B" w:rsidRPr="00DE2FD0" w:rsidRDefault="009A2E9B" w:rsidP="009A2E9B">
            <w:pPr>
              <w:spacing w:after="0" w:line="240" w:lineRule="auto"/>
              <w:rPr>
                <w:rFonts w:ascii="Arial" w:eastAsia="Times New Roman" w:hAnsi="Arial" w:cs="Arial"/>
                <w:color w:val="595959" w:themeColor="text1" w:themeTint="A6"/>
                <w:sz w:val="6"/>
                <w:szCs w:val="24"/>
              </w:rPr>
            </w:pPr>
          </w:p>
        </w:tc>
        <w:tc>
          <w:tcPr>
            <w:tcW w:w="6" w:type="dxa"/>
            <w:tcBorders>
              <w:top w:val="nil"/>
              <w:left w:val="nil"/>
              <w:bottom w:val="nil"/>
              <w:right w:val="nil"/>
            </w:tcBorders>
            <w:tcMar>
              <w:top w:w="30" w:type="dxa"/>
              <w:left w:w="0" w:type="dxa"/>
              <w:bottom w:w="0" w:type="dxa"/>
              <w:right w:w="0" w:type="dxa"/>
            </w:tcMar>
            <w:vAlign w:val="center"/>
          </w:tcPr>
          <w:p w:rsidR="009A2E9B" w:rsidRPr="00DE2FD0" w:rsidRDefault="009A2E9B" w:rsidP="009A2E9B">
            <w:pPr>
              <w:numPr>
                <w:ilvl w:val="0"/>
                <w:numId w:val="10"/>
              </w:numPr>
              <w:spacing w:after="0" w:line="240" w:lineRule="auto"/>
              <w:ind w:left="0"/>
              <w:textAlignment w:val="baseline"/>
              <w:rPr>
                <w:rFonts w:ascii="Arial" w:eastAsia="Times New Roman" w:hAnsi="Arial" w:cs="Arial"/>
                <w:color w:val="595959" w:themeColor="text1" w:themeTint="A6"/>
                <w:sz w:val="6"/>
                <w:szCs w:val="24"/>
              </w:rPr>
            </w:pPr>
          </w:p>
        </w:tc>
      </w:tr>
    </w:tbl>
    <w:p w:rsidR="007E3148" w:rsidRPr="009A2E9B" w:rsidRDefault="007E3148" w:rsidP="009A2E9B">
      <w:pPr>
        <w:spacing w:after="0" w:line="384" w:lineRule="atLeast"/>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rPr>
        <w:t>T</w:t>
      </w:r>
      <w:r w:rsidR="009A2E9B">
        <w:rPr>
          <w:rFonts w:ascii="Arial" w:eastAsia="Times New Roman" w:hAnsi="Arial" w:cs="Arial"/>
          <w:color w:val="595959" w:themeColor="text1" w:themeTint="A6"/>
          <w:sz w:val="24"/>
          <w:szCs w:val="24"/>
        </w:rPr>
        <w:t>el: 617.899.3007</w:t>
      </w:r>
      <w:r w:rsidR="009A2E9B">
        <w:rPr>
          <w:rFonts w:ascii="Arial" w:eastAsia="Times New Roman" w:hAnsi="Arial" w:cs="Arial"/>
          <w:color w:val="595959" w:themeColor="text1" w:themeTint="A6"/>
          <w:sz w:val="24"/>
          <w:szCs w:val="24"/>
        </w:rPr>
        <w:br/>
      </w:r>
      <w:r w:rsidRPr="009A2E9B">
        <w:rPr>
          <w:rFonts w:ascii="Arial" w:eastAsia="Times New Roman" w:hAnsi="Arial" w:cs="Arial"/>
          <w:color w:val="595959" w:themeColor="text1" w:themeTint="A6"/>
          <w:sz w:val="24"/>
          <w:szCs w:val="24"/>
        </w:rPr>
        <w:t xml:space="preserve">Email: </w:t>
      </w:r>
      <w:r w:rsidR="009A2E9B">
        <w:rPr>
          <w:rFonts w:ascii="Arial" w:eastAsia="Times New Roman" w:hAnsi="Arial" w:cs="Arial"/>
          <w:color w:val="595959" w:themeColor="text1" w:themeTint="A6"/>
          <w:sz w:val="24"/>
          <w:szCs w:val="24"/>
        </w:rPr>
        <w:t>davidggaw@comcast.net</w:t>
      </w:r>
    </w:p>
    <w:p w:rsidR="00DE2FD0" w:rsidRPr="00DE2FD0" w:rsidRDefault="00DE2FD0" w:rsidP="009A2E9B">
      <w:pPr>
        <w:rPr>
          <w:rFonts w:ascii="Arial" w:hAnsi="Arial" w:cs="Arial"/>
          <w:color w:val="595959" w:themeColor="text1" w:themeTint="A6"/>
          <w:sz w:val="16"/>
          <w:szCs w:val="24"/>
        </w:rPr>
      </w:pPr>
    </w:p>
    <w:p w:rsidR="0077781B" w:rsidRPr="009A2E9B" w:rsidRDefault="009A2E9B" w:rsidP="009A2E9B">
      <w:pPr>
        <w:rPr>
          <w:rFonts w:ascii="Arial" w:hAnsi="Arial" w:cs="Arial"/>
          <w:color w:val="595959" w:themeColor="text1" w:themeTint="A6"/>
          <w:sz w:val="24"/>
          <w:szCs w:val="24"/>
        </w:rPr>
      </w:pPr>
      <w:r w:rsidRPr="009A2E9B">
        <w:rPr>
          <w:rFonts w:ascii="Arial" w:hAnsi="Arial" w:cs="Arial"/>
          <w:color w:val="595959" w:themeColor="text1" w:themeTint="A6"/>
          <w:sz w:val="24"/>
          <w:szCs w:val="24"/>
        </w:rPr>
        <w:t>David G. Gaw is a Boston based commercial real estate executive . Mr. Gaw’s experience includes his role as the Chief Financial Officer for Heritage Property Investment Trust of Boston Ma. Mr. Gaw was responsible for directing Heritage’s initial public offering and served as the Trust’s primary interface to the investment community. He developed and implemented short and long term financial strategies for the company, oversaw capital markets, financial reporting, analysis, budgeting, tax, information systems and internal audit. Mr. Gaw also served as CFO for Boston Properties between 1982 and 2000. While at Boston Properties, Mr. Gaw oversaw the company’s initial public offering, the largest real estate IPO that had been completed at that time. Mr. Gaw currently serves as an independent director of the Plymouth Opportunity Reit of Boston Ma. Mr. Gaw holds an M.B.A. and a B.S. from Suffolk University.</w:t>
      </w:r>
    </w:p>
    <w:p w:rsidR="009A2E9B"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bookmarkStart w:id="0" w:name="title"/>
    </w:p>
    <w:p w:rsidR="009A2E9B" w:rsidRPr="009A2E9B"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r w:rsidRPr="009A2E9B">
        <w:rPr>
          <w:rFonts w:ascii="Arial" w:eastAsia="Times New Roman" w:hAnsi="Arial" w:cs="Arial"/>
          <w:b/>
          <w:bCs/>
          <w:color w:val="595959" w:themeColor="text1" w:themeTint="A6"/>
          <w:sz w:val="24"/>
          <w:szCs w:val="24"/>
        </w:rPr>
        <w:t>Experience</w:t>
      </w:r>
    </w:p>
    <w:p w:rsidR="009A2E9B" w:rsidRPr="009A2E9B"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p>
    <w:p w:rsidR="009A2E9B" w:rsidRPr="00C56198"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hyperlink r:id="rId7" w:tooltip="Find others with this title" w:history="1">
        <w:r w:rsidRPr="009A2E9B">
          <w:rPr>
            <w:rFonts w:ascii="Arial" w:eastAsia="Times New Roman" w:hAnsi="Arial" w:cs="Arial"/>
            <w:b/>
            <w:bCs/>
            <w:color w:val="595959" w:themeColor="text1" w:themeTint="A6"/>
            <w:sz w:val="24"/>
            <w:szCs w:val="24"/>
            <w:u w:val="single"/>
            <w:bdr w:val="none" w:sz="0" w:space="0" w:color="auto" w:frame="1"/>
          </w:rPr>
          <w:t>Independent Director/Chairman of the Audit Committee</w:t>
        </w:r>
      </w:hyperlink>
    </w:p>
    <w:p w:rsidR="009A2E9B" w:rsidRPr="00C56198" w:rsidRDefault="009A2E9B" w:rsidP="009A2E9B">
      <w:pPr>
        <w:shd w:val="clear" w:color="auto" w:fill="FFFFFF"/>
        <w:spacing w:after="0" w:line="240" w:lineRule="atLeast"/>
        <w:textAlignment w:val="baseline"/>
        <w:outlineLvl w:val="4"/>
        <w:rPr>
          <w:rFonts w:ascii="Arial" w:eastAsia="Times New Roman" w:hAnsi="Arial" w:cs="Arial"/>
          <w:color w:val="595959" w:themeColor="text1" w:themeTint="A6"/>
          <w:sz w:val="24"/>
          <w:szCs w:val="24"/>
        </w:rPr>
      </w:pPr>
      <w:hyperlink r:id="rId8" w:tooltip="Find others who have worked at this company" w:history="1">
        <w:r w:rsidRPr="009A2E9B">
          <w:rPr>
            <w:rFonts w:ascii="Arial" w:eastAsia="Times New Roman" w:hAnsi="Arial" w:cs="Arial"/>
            <w:color w:val="595959" w:themeColor="text1" w:themeTint="A6"/>
            <w:sz w:val="24"/>
            <w:szCs w:val="24"/>
            <w:u w:val="single"/>
            <w:bdr w:val="none" w:sz="0" w:space="0" w:color="auto" w:frame="1"/>
          </w:rPr>
          <w:t>Plymouth Opportunity REIT,Inc.</w:t>
        </w:r>
      </w:hyperlink>
    </w:p>
    <w:p w:rsidR="009A2E9B" w:rsidRDefault="009A2E9B" w:rsidP="009A2E9B">
      <w:pPr>
        <w:shd w:val="clear" w:color="auto" w:fill="FFFFFF"/>
        <w:spacing w:after="0" w:line="255" w:lineRule="atLeast"/>
        <w:textAlignment w:val="baseline"/>
        <w:rPr>
          <w:rFonts w:ascii="Arial" w:eastAsia="Times New Roman" w:hAnsi="Arial" w:cs="Arial"/>
          <w:color w:val="595959" w:themeColor="text1" w:themeTint="A6"/>
          <w:sz w:val="24"/>
          <w:szCs w:val="24"/>
          <w:bdr w:val="none" w:sz="0" w:space="0" w:color="auto" w:frame="1"/>
        </w:rPr>
      </w:pPr>
      <w:r w:rsidRPr="009A2E9B">
        <w:rPr>
          <w:rFonts w:ascii="Arial" w:eastAsia="Times New Roman" w:hAnsi="Arial" w:cs="Arial"/>
          <w:color w:val="595959" w:themeColor="text1" w:themeTint="A6"/>
          <w:sz w:val="24"/>
          <w:szCs w:val="24"/>
          <w:bdr w:val="none" w:sz="0" w:space="0" w:color="auto" w:frame="1"/>
        </w:rPr>
        <w:t>October 2011 – Present</w:t>
      </w:r>
    </w:p>
    <w:p w:rsidR="009A2E9B" w:rsidRPr="00C56198" w:rsidRDefault="009A2E9B" w:rsidP="009A2E9B">
      <w:pPr>
        <w:shd w:val="clear" w:color="auto" w:fill="FFFFFF"/>
        <w:spacing w:after="0" w:line="255" w:lineRule="atLeast"/>
        <w:textAlignment w:val="baseline"/>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Boston Massachusetts</w:t>
      </w:r>
    </w:p>
    <w:p w:rsidR="009A2E9B"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p>
    <w:p w:rsidR="00DE2FD0" w:rsidRDefault="00DE2FD0"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p>
    <w:p w:rsidR="00DE2FD0" w:rsidRDefault="00DE2FD0"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p>
    <w:p w:rsidR="009A2E9B" w:rsidRPr="00C56198"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hyperlink r:id="rId9" w:tooltip="Find others with this title" w:history="1">
        <w:r w:rsidRPr="009A2E9B">
          <w:rPr>
            <w:rFonts w:ascii="Arial" w:eastAsia="Times New Roman" w:hAnsi="Arial" w:cs="Arial"/>
            <w:b/>
            <w:bCs/>
            <w:color w:val="595959" w:themeColor="text1" w:themeTint="A6"/>
            <w:sz w:val="24"/>
            <w:szCs w:val="24"/>
            <w:u w:val="single"/>
            <w:bdr w:val="none" w:sz="0" w:space="0" w:color="auto" w:frame="1"/>
          </w:rPr>
          <w:t>Chief Financial Officer</w:t>
        </w:r>
      </w:hyperlink>
    </w:p>
    <w:p w:rsidR="009A2E9B" w:rsidRPr="00C56198" w:rsidRDefault="009A2E9B" w:rsidP="009A2E9B">
      <w:pPr>
        <w:shd w:val="clear" w:color="auto" w:fill="FFFFFF"/>
        <w:spacing w:after="0" w:line="240" w:lineRule="atLeast"/>
        <w:textAlignment w:val="baseline"/>
        <w:outlineLvl w:val="4"/>
        <w:rPr>
          <w:rFonts w:ascii="Arial" w:eastAsia="Times New Roman" w:hAnsi="Arial" w:cs="Arial"/>
          <w:color w:val="595959" w:themeColor="text1" w:themeTint="A6"/>
          <w:sz w:val="24"/>
          <w:szCs w:val="24"/>
        </w:rPr>
      </w:pPr>
      <w:hyperlink r:id="rId10" w:tooltip="Find others who have worked at this company" w:history="1">
        <w:r w:rsidRPr="009A2E9B">
          <w:rPr>
            <w:rFonts w:ascii="Arial" w:eastAsia="Times New Roman" w:hAnsi="Arial" w:cs="Arial"/>
            <w:color w:val="595959" w:themeColor="text1" w:themeTint="A6"/>
            <w:sz w:val="24"/>
            <w:szCs w:val="24"/>
            <w:u w:val="single"/>
            <w:bdr w:val="none" w:sz="0" w:space="0" w:color="auto" w:frame="1"/>
          </w:rPr>
          <w:t>Pyramid Hotels &amp; Resorts, Inc.</w:t>
        </w:r>
      </w:hyperlink>
    </w:p>
    <w:p w:rsidR="009A2E9B" w:rsidRPr="00C56198" w:rsidRDefault="009A2E9B" w:rsidP="009A2E9B">
      <w:pPr>
        <w:shd w:val="clear" w:color="auto" w:fill="FFFFFF"/>
        <w:spacing w:line="255" w:lineRule="atLeast"/>
        <w:textAlignment w:val="baseline"/>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January 2010 – November 2011</w:t>
      </w:r>
    </w:p>
    <w:p w:rsidR="009A2E9B" w:rsidRPr="00C56198"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hyperlink r:id="rId11" w:tooltip="Find others with this title" w:history="1">
        <w:r w:rsidRPr="009A2E9B">
          <w:rPr>
            <w:rFonts w:ascii="Arial" w:eastAsia="Times New Roman" w:hAnsi="Arial" w:cs="Arial"/>
            <w:b/>
            <w:bCs/>
            <w:color w:val="595959" w:themeColor="text1" w:themeTint="A6"/>
            <w:sz w:val="24"/>
            <w:szCs w:val="24"/>
            <w:u w:val="single"/>
            <w:bdr w:val="none" w:sz="0" w:space="0" w:color="auto" w:frame="1"/>
          </w:rPr>
          <w:t>CFO</w:t>
        </w:r>
      </w:hyperlink>
    </w:p>
    <w:p w:rsidR="009A2E9B" w:rsidRPr="00C56198" w:rsidRDefault="009A2E9B" w:rsidP="009A2E9B">
      <w:pPr>
        <w:shd w:val="clear" w:color="auto" w:fill="FFFFFF"/>
        <w:spacing w:after="0" w:line="240" w:lineRule="atLeast"/>
        <w:textAlignment w:val="baseline"/>
        <w:outlineLvl w:val="4"/>
        <w:rPr>
          <w:rFonts w:ascii="Arial" w:eastAsia="Times New Roman" w:hAnsi="Arial" w:cs="Arial"/>
          <w:color w:val="595959" w:themeColor="text1" w:themeTint="A6"/>
          <w:sz w:val="24"/>
          <w:szCs w:val="24"/>
        </w:rPr>
      </w:pPr>
      <w:hyperlink r:id="rId12" w:tooltip="Find others who have worked at this company" w:history="1">
        <w:r w:rsidRPr="009A2E9B">
          <w:rPr>
            <w:rFonts w:ascii="Arial" w:eastAsia="Times New Roman" w:hAnsi="Arial" w:cs="Arial"/>
            <w:color w:val="595959" w:themeColor="text1" w:themeTint="A6"/>
            <w:sz w:val="24"/>
            <w:szCs w:val="24"/>
            <w:u w:val="single"/>
            <w:bdr w:val="none" w:sz="0" w:space="0" w:color="auto" w:frame="1"/>
          </w:rPr>
          <w:t>Berkshire Development LLC</w:t>
        </w:r>
      </w:hyperlink>
    </w:p>
    <w:p w:rsidR="009A2E9B" w:rsidRPr="00C56198" w:rsidRDefault="009A2E9B" w:rsidP="009A2E9B">
      <w:pPr>
        <w:shd w:val="clear" w:color="auto" w:fill="FFFFFF"/>
        <w:spacing w:line="255" w:lineRule="atLeast"/>
        <w:textAlignment w:val="baseline"/>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June 2007 – September 2008</w:t>
      </w:r>
    </w:p>
    <w:p w:rsidR="009A2E9B" w:rsidRPr="00C56198"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hyperlink r:id="rId13" w:tooltip="Find others with this title" w:history="1">
        <w:r w:rsidRPr="009A2E9B">
          <w:rPr>
            <w:rFonts w:ascii="Arial" w:eastAsia="Times New Roman" w:hAnsi="Arial" w:cs="Arial"/>
            <w:b/>
            <w:bCs/>
            <w:color w:val="595959" w:themeColor="text1" w:themeTint="A6"/>
            <w:sz w:val="24"/>
            <w:szCs w:val="24"/>
            <w:u w:val="single"/>
            <w:bdr w:val="none" w:sz="0" w:space="0" w:color="auto" w:frame="1"/>
          </w:rPr>
          <w:t>Chief Financial Officer</w:t>
        </w:r>
      </w:hyperlink>
    </w:p>
    <w:p w:rsidR="009A2E9B" w:rsidRPr="00C56198" w:rsidRDefault="009A2E9B" w:rsidP="009A2E9B">
      <w:pPr>
        <w:shd w:val="clear" w:color="auto" w:fill="FFFFFF"/>
        <w:spacing w:after="0" w:line="240" w:lineRule="atLeast"/>
        <w:textAlignment w:val="baseline"/>
        <w:outlineLvl w:val="4"/>
        <w:rPr>
          <w:rFonts w:ascii="Arial" w:eastAsia="Times New Roman" w:hAnsi="Arial" w:cs="Arial"/>
          <w:color w:val="595959" w:themeColor="text1" w:themeTint="A6"/>
          <w:sz w:val="24"/>
          <w:szCs w:val="24"/>
        </w:rPr>
      </w:pPr>
      <w:hyperlink r:id="rId14" w:tooltip="Find others who have worked at this company" w:history="1">
        <w:r w:rsidRPr="009A2E9B">
          <w:rPr>
            <w:rFonts w:ascii="Arial" w:eastAsia="Times New Roman" w:hAnsi="Arial" w:cs="Arial"/>
            <w:color w:val="595959" w:themeColor="text1" w:themeTint="A6"/>
            <w:sz w:val="24"/>
            <w:szCs w:val="24"/>
            <w:u w:val="single"/>
            <w:bdr w:val="none" w:sz="0" w:space="0" w:color="auto" w:frame="1"/>
          </w:rPr>
          <w:t>Heritage Property Investment Trust</w:t>
        </w:r>
      </w:hyperlink>
    </w:p>
    <w:p w:rsidR="009A2E9B" w:rsidRPr="00C56198" w:rsidRDefault="009A2E9B" w:rsidP="009A2E9B">
      <w:pPr>
        <w:shd w:val="clear" w:color="auto" w:fill="FFFFFF"/>
        <w:spacing w:line="255" w:lineRule="atLeast"/>
        <w:textAlignment w:val="baseline"/>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2001 – 2007</w:t>
      </w:r>
    </w:p>
    <w:p w:rsidR="009A2E9B" w:rsidRPr="00C56198"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hyperlink r:id="rId15" w:tooltip="Find others with this title" w:history="1">
        <w:r w:rsidRPr="009A2E9B">
          <w:rPr>
            <w:rFonts w:ascii="Arial" w:eastAsia="Times New Roman" w:hAnsi="Arial" w:cs="Arial"/>
            <w:b/>
            <w:bCs/>
            <w:color w:val="595959" w:themeColor="text1" w:themeTint="A6"/>
            <w:sz w:val="24"/>
            <w:szCs w:val="24"/>
            <w:u w:val="single"/>
            <w:bdr w:val="none" w:sz="0" w:space="0" w:color="auto" w:frame="1"/>
          </w:rPr>
          <w:t>Chief Financial Officer</w:t>
        </w:r>
      </w:hyperlink>
      <w:bookmarkEnd w:id="0"/>
    </w:p>
    <w:p w:rsidR="009A2E9B" w:rsidRPr="00C56198" w:rsidRDefault="009A2E9B" w:rsidP="009A2E9B">
      <w:pPr>
        <w:shd w:val="clear" w:color="auto" w:fill="FFFFFF"/>
        <w:spacing w:after="0" w:line="240" w:lineRule="atLeast"/>
        <w:textAlignment w:val="baseline"/>
        <w:outlineLvl w:val="4"/>
        <w:rPr>
          <w:rFonts w:ascii="Arial" w:eastAsia="Times New Roman" w:hAnsi="Arial" w:cs="Arial"/>
          <w:color w:val="595959" w:themeColor="text1" w:themeTint="A6"/>
          <w:sz w:val="24"/>
          <w:szCs w:val="24"/>
        </w:rPr>
      </w:pPr>
      <w:hyperlink r:id="rId16" w:tooltip="Find others who have worked at this company" w:history="1">
        <w:r w:rsidRPr="009A2E9B">
          <w:rPr>
            <w:rFonts w:ascii="Arial" w:eastAsia="Times New Roman" w:hAnsi="Arial" w:cs="Arial"/>
            <w:color w:val="595959" w:themeColor="text1" w:themeTint="A6"/>
            <w:sz w:val="24"/>
            <w:szCs w:val="24"/>
            <w:u w:val="single"/>
            <w:bdr w:val="none" w:sz="0" w:space="0" w:color="auto" w:frame="1"/>
          </w:rPr>
          <w:t>Boston Properties</w:t>
        </w:r>
      </w:hyperlink>
    </w:p>
    <w:p w:rsidR="009A2E9B" w:rsidRPr="00C56198" w:rsidRDefault="009A2E9B" w:rsidP="009A2E9B">
      <w:pPr>
        <w:shd w:val="clear" w:color="auto" w:fill="FFFFFF"/>
        <w:spacing w:line="255" w:lineRule="atLeast"/>
        <w:textAlignment w:val="baseline"/>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1982 – 2000</w:t>
      </w:r>
    </w:p>
    <w:p w:rsidR="007E3148" w:rsidRPr="009A2E9B" w:rsidRDefault="007E3148" w:rsidP="009A3A4B">
      <w:pPr>
        <w:spacing w:after="300" w:line="384" w:lineRule="atLeast"/>
        <w:rPr>
          <w:rFonts w:ascii="Arial" w:eastAsia="Times New Roman" w:hAnsi="Arial" w:cs="Arial"/>
          <w:color w:val="595959" w:themeColor="text1" w:themeTint="A6"/>
          <w:sz w:val="24"/>
          <w:szCs w:val="24"/>
        </w:rPr>
      </w:pPr>
      <w:r w:rsidRPr="009A2E9B">
        <w:rPr>
          <w:rFonts w:ascii="Arial" w:eastAsia="Times New Roman" w:hAnsi="Arial" w:cs="Arial"/>
          <w:b/>
          <w:bCs/>
          <w:color w:val="595959" w:themeColor="text1" w:themeTint="A6"/>
          <w:sz w:val="24"/>
          <w:szCs w:val="24"/>
        </w:rPr>
        <w:t>Education &amp; Credentials</w:t>
      </w:r>
    </w:p>
    <w:p w:rsidR="009A2E9B" w:rsidRPr="009A2E9B"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hyperlink r:id="rId17" w:tooltip="More details for this school" w:history="1">
        <w:r w:rsidRPr="009A2E9B">
          <w:rPr>
            <w:rFonts w:ascii="Arial" w:eastAsia="Times New Roman" w:hAnsi="Arial" w:cs="Arial"/>
            <w:b/>
            <w:bCs/>
            <w:color w:val="595959" w:themeColor="text1" w:themeTint="A6"/>
            <w:sz w:val="24"/>
            <w:szCs w:val="24"/>
            <w:u w:val="single"/>
            <w:bdr w:val="none" w:sz="0" w:space="0" w:color="auto" w:frame="1"/>
          </w:rPr>
          <w:t>Suffolk University - Sawyer School of Management</w:t>
        </w:r>
      </w:hyperlink>
    </w:p>
    <w:p w:rsidR="009A2E9B" w:rsidRPr="009A2E9B" w:rsidRDefault="009A2E9B" w:rsidP="009A2E9B">
      <w:pPr>
        <w:shd w:val="clear" w:color="auto" w:fill="FFFFFF"/>
        <w:spacing w:after="0" w:line="240" w:lineRule="atLeast"/>
        <w:textAlignment w:val="baseline"/>
        <w:outlineLvl w:val="4"/>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MBA</w:t>
      </w:r>
    </w:p>
    <w:p w:rsidR="009A2E9B" w:rsidRPr="009A2E9B" w:rsidRDefault="009A2E9B" w:rsidP="009A2E9B">
      <w:pPr>
        <w:shd w:val="clear" w:color="auto" w:fill="FFFFFF"/>
        <w:spacing w:line="255" w:lineRule="atLeast"/>
        <w:textAlignment w:val="baseline"/>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1981 – 1983</w:t>
      </w:r>
    </w:p>
    <w:p w:rsidR="009A2E9B" w:rsidRPr="009A2E9B" w:rsidRDefault="009A2E9B" w:rsidP="009A2E9B">
      <w:pPr>
        <w:shd w:val="clear" w:color="auto" w:fill="FFFFFF"/>
        <w:spacing w:after="0" w:line="270" w:lineRule="atLeast"/>
        <w:textAlignment w:val="center"/>
        <w:outlineLvl w:val="3"/>
        <w:rPr>
          <w:rFonts w:ascii="Arial" w:eastAsia="Times New Roman" w:hAnsi="Arial" w:cs="Arial"/>
          <w:b/>
          <w:bCs/>
          <w:color w:val="595959" w:themeColor="text1" w:themeTint="A6"/>
          <w:sz w:val="24"/>
          <w:szCs w:val="24"/>
        </w:rPr>
      </w:pPr>
      <w:hyperlink r:id="rId18" w:tooltip="More details for this school" w:history="1">
        <w:r w:rsidRPr="009A2E9B">
          <w:rPr>
            <w:rFonts w:ascii="Arial" w:eastAsia="Times New Roman" w:hAnsi="Arial" w:cs="Arial"/>
            <w:b/>
            <w:bCs/>
            <w:color w:val="595959" w:themeColor="text1" w:themeTint="A6"/>
            <w:sz w:val="24"/>
            <w:szCs w:val="24"/>
            <w:u w:val="single"/>
            <w:bdr w:val="none" w:sz="0" w:space="0" w:color="auto" w:frame="1"/>
          </w:rPr>
          <w:t>Suffolk University</w:t>
        </w:r>
      </w:hyperlink>
    </w:p>
    <w:p w:rsidR="009A2E9B" w:rsidRPr="009A2E9B" w:rsidRDefault="009A2E9B" w:rsidP="009A2E9B">
      <w:pPr>
        <w:shd w:val="clear" w:color="auto" w:fill="FFFFFF"/>
        <w:spacing w:after="0" w:line="240" w:lineRule="atLeast"/>
        <w:textAlignment w:val="baseline"/>
        <w:outlineLvl w:val="4"/>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BSBA, </w:t>
      </w:r>
      <w:hyperlink r:id="rId19" w:tooltip="Find users with this keyword" w:history="1">
        <w:r w:rsidRPr="00DE2FD0">
          <w:rPr>
            <w:rFonts w:ascii="Arial" w:eastAsia="Times New Roman" w:hAnsi="Arial" w:cs="Arial"/>
            <w:color w:val="595959" w:themeColor="text1" w:themeTint="A6"/>
            <w:sz w:val="24"/>
            <w:szCs w:val="24"/>
            <w:bdr w:val="none" w:sz="0" w:space="0" w:color="auto" w:frame="1"/>
          </w:rPr>
          <w:t>Accounting</w:t>
        </w:r>
      </w:hyperlink>
    </w:p>
    <w:p w:rsidR="009A2E9B" w:rsidRPr="009A2E9B" w:rsidRDefault="009A2E9B" w:rsidP="009A2E9B">
      <w:pPr>
        <w:shd w:val="clear" w:color="auto" w:fill="FFFFFF"/>
        <w:spacing w:line="255" w:lineRule="atLeast"/>
        <w:textAlignment w:val="baseline"/>
        <w:rPr>
          <w:rFonts w:ascii="Arial" w:eastAsia="Times New Roman" w:hAnsi="Arial" w:cs="Arial"/>
          <w:color w:val="595959" w:themeColor="text1" w:themeTint="A6"/>
          <w:sz w:val="24"/>
          <w:szCs w:val="24"/>
        </w:rPr>
      </w:pPr>
      <w:r w:rsidRPr="009A2E9B">
        <w:rPr>
          <w:rFonts w:ascii="Arial" w:eastAsia="Times New Roman" w:hAnsi="Arial" w:cs="Arial"/>
          <w:color w:val="595959" w:themeColor="text1" w:themeTint="A6"/>
          <w:sz w:val="24"/>
          <w:szCs w:val="24"/>
          <w:bdr w:val="none" w:sz="0" w:space="0" w:color="auto" w:frame="1"/>
        </w:rPr>
        <w:t>1969 – 1973</w:t>
      </w:r>
    </w:p>
    <w:p w:rsidR="0044225D" w:rsidRPr="009A2E9B" w:rsidRDefault="0044225D" w:rsidP="009A2E9B">
      <w:pPr>
        <w:spacing w:before="120" w:after="120" w:line="384" w:lineRule="atLeast"/>
        <w:rPr>
          <w:rFonts w:ascii="Arial" w:eastAsia="Times New Roman" w:hAnsi="Arial" w:cs="Arial"/>
          <w:color w:val="595959" w:themeColor="text1" w:themeTint="A6"/>
          <w:sz w:val="24"/>
          <w:szCs w:val="24"/>
        </w:rPr>
      </w:pPr>
    </w:p>
    <w:sectPr w:rsidR="0044225D" w:rsidRPr="009A2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6BF7"/>
    <w:multiLevelType w:val="multilevel"/>
    <w:tmpl w:val="42A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F469B"/>
    <w:multiLevelType w:val="hybridMultilevel"/>
    <w:tmpl w:val="64DC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C3B5E"/>
    <w:multiLevelType w:val="multilevel"/>
    <w:tmpl w:val="90A4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8304D"/>
    <w:multiLevelType w:val="hybridMultilevel"/>
    <w:tmpl w:val="65A0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D25BB2"/>
    <w:multiLevelType w:val="multilevel"/>
    <w:tmpl w:val="F240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8558A1"/>
    <w:multiLevelType w:val="hybridMultilevel"/>
    <w:tmpl w:val="7B7E1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43E58"/>
    <w:multiLevelType w:val="multilevel"/>
    <w:tmpl w:val="031E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570A1"/>
    <w:multiLevelType w:val="hybridMultilevel"/>
    <w:tmpl w:val="365E2B0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nsid w:val="76555CA9"/>
    <w:multiLevelType w:val="hybridMultilevel"/>
    <w:tmpl w:val="16A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53CD3"/>
    <w:multiLevelType w:val="multilevel"/>
    <w:tmpl w:val="6DFA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202A7C"/>
    <w:multiLevelType w:val="multilevel"/>
    <w:tmpl w:val="2C1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7"/>
  </w:num>
  <w:num w:numId="7">
    <w:abstractNumId w:val="3"/>
  </w:num>
  <w:num w:numId="8">
    <w:abstractNumId w:val="5"/>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48"/>
    <w:rsid w:val="000112B1"/>
    <w:rsid w:val="00011B5C"/>
    <w:rsid w:val="00016FF0"/>
    <w:rsid w:val="00020F13"/>
    <w:rsid w:val="0002382A"/>
    <w:rsid w:val="00025016"/>
    <w:rsid w:val="00040C46"/>
    <w:rsid w:val="0005465D"/>
    <w:rsid w:val="00054D9E"/>
    <w:rsid w:val="00056E5D"/>
    <w:rsid w:val="00060593"/>
    <w:rsid w:val="00060724"/>
    <w:rsid w:val="00061105"/>
    <w:rsid w:val="00071F0A"/>
    <w:rsid w:val="000720A6"/>
    <w:rsid w:val="000742CE"/>
    <w:rsid w:val="000760A6"/>
    <w:rsid w:val="000822BA"/>
    <w:rsid w:val="00082301"/>
    <w:rsid w:val="000858AB"/>
    <w:rsid w:val="00085AC7"/>
    <w:rsid w:val="000A08FF"/>
    <w:rsid w:val="000A14EB"/>
    <w:rsid w:val="000A20C6"/>
    <w:rsid w:val="000A3F8E"/>
    <w:rsid w:val="000A41BE"/>
    <w:rsid w:val="000A629F"/>
    <w:rsid w:val="000B2007"/>
    <w:rsid w:val="000C0523"/>
    <w:rsid w:val="000C3775"/>
    <w:rsid w:val="000C4793"/>
    <w:rsid w:val="000C6888"/>
    <w:rsid w:val="000C713B"/>
    <w:rsid w:val="000E5A9C"/>
    <w:rsid w:val="000E6EB2"/>
    <w:rsid w:val="000E7B11"/>
    <w:rsid w:val="000F6F59"/>
    <w:rsid w:val="001037F4"/>
    <w:rsid w:val="0012054F"/>
    <w:rsid w:val="00120874"/>
    <w:rsid w:val="00120E21"/>
    <w:rsid w:val="00130FDB"/>
    <w:rsid w:val="00131968"/>
    <w:rsid w:val="00134484"/>
    <w:rsid w:val="001361F0"/>
    <w:rsid w:val="00142AB4"/>
    <w:rsid w:val="001446EF"/>
    <w:rsid w:val="00152ADD"/>
    <w:rsid w:val="00153B64"/>
    <w:rsid w:val="00156140"/>
    <w:rsid w:val="00156FF2"/>
    <w:rsid w:val="00161623"/>
    <w:rsid w:val="0016229F"/>
    <w:rsid w:val="00164E15"/>
    <w:rsid w:val="0016530B"/>
    <w:rsid w:val="00166F85"/>
    <w:rsid w:val="001702B0"/>
    <w:rsid w:val="00174DF0"/>
    <w:rsid w:val="00192BD8"/>
    <w:rsid w:val="001938D5"/>
    <w:rsid w:val="001C2C1C"/>
    <w:rsid w:val="001C38AD"/>
    <w:rsid w:val="001C4EBC"/>
    <w:rsid w:val="001D1859"/>
    <w:rsid w:val="001D5A29"/>
    <w:rsid w:val="001D6E2B"/>
    <w:rsid w:val="001E5ACF"/>
    <w:rsid w:val="001F00BB"/>
    <w:rsid w:val="001F3DB1"/>
    <w:rsid w:val="00212E3A"/>
    <w:rsid w:val="00213B1A"/>
    <w:rsid w:val="00217FDF"/>
    <w:rsid w:val="00220511"/>
    <w:rsid w:val="00225A28"/>
    <w:rsid w:val="002362AF"/>
    <w:rsid w:val="00237D4D"/>
    <w:rsid w:val="00242B6D"/>
    <w:rsid w:val="00242CEF"/>
    <w:rsid w:val="0024352C"/>
    <w:rsid w:val="002549CA"/>
    <w:rsid w:val="00260769"/>
    <w:rsid w:val="002619AC"/>
    <w:rsid w:val="00265D07"/>
    <w:rsid w:val="00266830"/>
    <w:rsid w:val="00277439"/>
    <w:rsid w:val="00284BBB"/>
    <w:rsid w:val="0028791B"/>
    <w:rsid w:val="0029165F"/>
    <w:rsid w:val="00293276"/>
    <w:rsid w:val="00297C66"/>
    <w:rsid w:val="002A4291"/>
    <w:rsid w:val="002A5CF1"/>
    <w:rsid w:val="002B0A1F"/>
    <w:rsid w:val="002C20CF"/>
    <w:rsid w:val="002C3C0B"/>
    <w:rsid w:val="002C4805"/>
    <w:rsid w:val="002C6B05"/>
    <w:rsid w:val="002D7081"/>
    <w:rsid w:val="002E151F"/>
    <w:rsid w:val="002E7E29"/>
    <w:rsid w:val="002F37D9"/>
    <w:rsid w:val="002F38EA"/>
    <w:rsid w:val="002F58EA"/>
    <w:rsid w:val="002F7B74"/>
    <w:rsid w:val="002F7EB0"/>
    <w:rsid w:val="00300547"/>
    <w:rsid w:val="00306D90"/>
    <w:rsid w:val="00307B5D"/>
    <w:rsid w:val="003104E1"/>
    <w:rsid w:val="00317189"/>
    <w:rsid w:val="00324B14"/>
    <w:rsid w:val="00333244"/>
    <w:rsid w:val="00344DC9"/>
    <w:rsid w:val="003458AE"/>
    <w:rsid w:val="00351AF8"/>
    <w:rsid w:val="00351F35"/>
    <w:rsid w:val="0035755A"/>
    <w:rsid w:val="00357D06"/>
    <w:rsid w:val="0036476D"/>
    <w:rsid w:val="003662B3"/>
    <w:rsid w:val="00367CCA"/>
    <w:rsid w:val="003733F7"/>
    <w:rsid w:val="003738C3"/>
    <w:rsid w:val="00375CB8"/>
    <w:rsid w:val="00375F21"/>
    <w:rsid w:val="00385106"/>
    <w:rsid w:val="00387904"/>
    <w:rsid w:val="00393EC4"/>
    <w:rsid w:val="00397933"/>
    <w:rsid w:val="003979E6"/>
    <w:rsid w:val="003A3F09"/>
    <w:rsid w:val="003A469B"/>
    <w:rsid w:val="003A5E75"/>
    <w:rsid w:val="003B558B"/>
    <w:rsid w:val="003C55AB"/>
    <w:rsid w:val="003D6E3A"/>
    <w:rsid w:val="003E09F8"/>
    <w:rsid w:val="003F3D89"/>
    <w:rsid w:val="003F5554"/>
    <w:rsid w:val="004029D7"/>
    <w:rsid w:val="00404FED"/>
    <w:rsid w:val="004052F2"/>
    <w:rsid w:val="00410148"/>
    <w:rsid w:val="004236BC"/>
    <w:rsid w:val="00423932"/>
    <w:rsid w:val="004256D1"/>
    <w:rsid w:val="00426294"/>
    <w:rsid w:val="00427458"/>
    <w:rsid w:val="00432CCA"/>
    <w:rsid w:val="00436C7A"/>
    <w:rsid w:val="0044225D"/>
    <w:rsid w:val="004530A8"/>
    <w:rsid w:val="0046190A"/>
    <w:rsid w:val="00461FC3"/>
    <w:rsid w:val="00463CB8"/>
    <w:rsid w:val="004656DF"/>
    <w:rsid w:val="004663BE"/>
    <w:rsid w:val="00470D12"/>
    <w:rsid w:val="004720C3"/>
    <w:rsid w:val="0047308E"/>
    <w:rsid w:val="00486945"/>
    <w:rsid w:val="00487319"/>
    <w:rsid w:val="00492114"/>
    <w:rsid w:val="0049513D"/>
    <w:rsid w:val="004A0753"/>
    <w:rsid w:val="004A14E4"/>
    <w:rsid w:val="004B4693"/>
    <w:rsid w:val="004C3D72"/>
    <w:rsid w:val="004D1559"/>
    <w:rsid w:val="004D26B2"/>
    <w:rsid w:val="004E540B"/>
    <w:rsid w:val="004F0863"/>
    <w:rsid w:val="004F11D7"/>
    <w:rsid w:val="004F3261"/>
    <w:rsid w:val="00504634"/>
    <w:rsid w:val="0050731A"/>
    <w:rsid w:val="0051394B"/>
    <w:rsid w:val="00517DDD"/>
    <w:rsid w:val="005200E7"/>
    <w:rsid w:val="00521BDF"/>
    <w:rsid w:val="0052635A"/>
    <w:rsid w:val="00527486"/>
    <w:rsid w:val="00530C37"/>
    <w:rsid w:val="00532D53"/>
    <w:rsid w:val="005377EC"/>
    <w:rsid w:val="00537E45"/>
    <w:rsid w:val="00552C3C"/>
    <w:rsid w:val="00552FCC"/>
    <w:rsid w:val="005537CF"/>
    <w:rsid w:val="00561177"/>
    <w:rsid w:val="005638B9"/>
    <w:rsid w:val="005737EC"/>
    <w:rsid w:val="005753E8"/>
    <w:rsid w:val="00580A86"/>
    <w:rsid w:val="00584297"/>
    <w:rsid w:val="0058612D"/>
    <w:rsid w:val="0059391E"/>
    <w:rsid w:val="00593B56"/>
    <w:rsid w:val="005976D7"/>
    <w:rsid w:val="005A22AB"/>
    <w:rsid w:val="005A2A9F"/>
    <w:rsid w:val="005A48E2"/>
    <w:rsid w:val="005C2562"/>
    <w:rsid w:val="005C6F5B"/>
    <w:rsid w:val="005D5FE1"/>
    <w:rsid w:val="005D6AFB"/>
    <w:rsid w:val="005E3E2C"/>
    <w:rsid w:val="005E3EBA"/>
    <w:rsid w:val="005E7410"/>
    <w:rsid w:val="005E7AFD"/>
    <w:rsid w:val="005F075B"/>
    <w:rsid w:val="005F4F43"/>
    <w:rsid w:val="005F6406"/>
    <w:rsid w:val="005F755B"/>
    <w:rsid w:val="00600D9F"/>
    <w:rsid w:val="00600EA3"/>
    <w:rsid w:val="00605AF3"/>
    <w:rsid w:val="0061504E"/>
    <w:rsid w:val="00625B9D"/>
    <w:rsid w:val="006302B1"/>
    <w:rsid w:val="006333FE"/>
    <w:rsid w:val="00635B79"/>
    <w:rsid w:val="00642C54"/>
    <w:rsid w:val="006578F4"/>
    <w:rsid w:val="006705B7"/>
    <w:rsid w:val="00681B4B"/>
    <w:rsid w:val="00685986"/>
    <w:rsid w:val="00687B33"/>
    <w:rsid w:val="00690D83"/>
    <w:rsid w:val="006917EB"/>
    <w:rsid w:val="00693693"/>
    <w:rsid w:val="00693ECA"/>
    <w:rsid w:val="006A1417"/>
    <w:rsid w:val="006A23E8"/>
    <w:rsid w:val="006B277B"/>
    <w:rsid w:val="006C1575"/>
    <w:rsid w:val="006C242E"/>
    <w:rsid w:val="006D6569"/>
    <w:rsid w:val="006E3231"/>
    <w:rsid w:val="006E611C"/>
    <w:rsid w:val="006F24A2"/>
    <w:rsid w:val="006F2A1B"/>
    <w:rsid w:val="006F616F"/>
    <w:rsid w:val="00703D4D"/>
    <w:rsid w:val="007054CA"/>
    <w:rsid w:val="00710BB8"/>
    <w:rsid w:val="00710C60"/>
    <w:rsid w:val="00711F27"/>
    <w:rsid w:val="0071227B"/>
    <w:rsid w:val="00713113"/>
    <w:rsid w:val="00732688"/>
    <w:rsid w:val="0073444C"/>
    <w:rsid w:val="00742107"/>
    <w:rsid w:val="00751824"/>
    <w:rsid w:val="007527D0"/>
    <w:rsid w:val="00754365"/>
    <w:rsid w:val="00760C60"/>
    <w:rsid w:val="00764189"/>
    <w:rsid w:val="00767E0A"/>
    <w:rsid w:val="00777032"/>
    <w:rsid w:val="0077748C"/>
    <w:rsid w:val="0077781B"/>
    <w:rsid w:val="0078166E"/>
    <w:rsid w:val="00783816"/>
    <w:rsid w:val="00784269"/>
    <w:rsid w:val="007854D4"/>
    <w:rsid w:val="00792E0B"/>
    <w:rsid w:val="007B0EDA"/>
    <w:rsid w:val="007B4421"/>
    <w:rsid w:val="007B7E17"/>
    <w:rsid w:val="007C22D4"/>
    <w:rsid w:val="007C77E8"/>
    <w:rsid w:val="007D41B4"/>
    <w:rsid w:val="007D78E9"/>
    <w:rsid w:val="007E219E"/>
    <w:rsid w:val="007E3148"/>
    <w:rsid w:val="007E327F"/>
    <w:rsid w:val="007E37AE"/>
    <w:rsid w:val="00800597"/>
    <w:rsid w:val="00800F30"/>
    <w:rsid w:val="00802779"/>
    <w:rsid w:val="008031D7"/>
    <w:rsid w:val="008106C3"/>
    <w:rsid w:val="008120EF"/>
    <w:rsid w:val="008146D8"/>
    <w:rsid w:val="008152CE"/>
    <w:rsid w:val="0082239D"/>
    <w:rsid w:val="008231D6"/>
    <w:rsid w:val="0082483C"/>
    <w:rsid w:val="00825359"/>
    <w:rsid w:val="00825F50"/>
    <w:rsid w:val="0083568C"/>
    <w:rsid w:val="00837772"/>
    <w:rsid w:val="00841E92"/>
    <w:rsid w:val="00857319"/>
    <w:rsid w:val="00857C5F"/>
    <w:rsid w:val="008611B8"/>
    <w:rsid w:val="008626C4"/>
    <w:rsid w:val="00862D7C"/>
    <w:rsid w:val="00863FAB"/>
    <w:rsid w:val="00865386"/>
    <w:rsid w:val="008710B6"/>
    <w:rsid w:val="00871DF0"/>
    <w:rsid w:val="00874782"/>
    <w:rsid w:val="00882BA5"/>
    <w:rsid w:val="00887A67"/>
    <w:rsid w:val="00892934"/>
    <w:rsid w:val="008B1B82"/>
    <w:rsid w:val="008B71E3"/>
    <w:rsid w:val="008C1260"/>
    <w:rsid w:val="008C1649"/>
    <w:rsid w:val="008D11B8"/>
    <w:rsid w:val="008D1754"/>
    <w:rsid w:val="008D2B00"/>
    <w:rsid w:val="008D5F05"/>
    <w:rsid w:val="008D7682"/>
    <w:rsid w:val="008E0752"/>
    <w:rsid w:val="008E59EB"/>
    <w:rsid w:val="008E70A6"/>
    <w:rsid w:val="008E7CD9"/>
    <w:rsid w:val="008F1EA5"/>
    <w:rsid w:val="008F3242"/>
    <w:rsid w:val="00905DA4"/>
    <w:rsid w:val="00906619"/>
    <w:rsid w:val="00912108"/>
    <w:rsid w:val="009218C8"/>
    <w:rsid w:val="00922ACB"/>
    <w:rsid w:val="00923868"/>
    <w:rsid w:val="00924BF0"/>
    <w:rsid w:val="00926BB1"/>
    <w:rsid w:val="00931B08"/>
    <w:rsid w:val="009323E6"/>
    <w:rsid w:val="00934C54"/>
    <w:rsid w:val="0094141A"/>
    <w:rsid w:val="00943078"/>
    <w:rsid w:val="0094674C"/>
    <w:rsid w:val="00955B59"/>
    <w:rsid w:val="00957ACE"/>
    <w:rsid w:val="0096228C"/>
    <w:rsid w:val="0096459E"/>
    <w:rsid w:val="00972D61"/>
    <w:rsid w:val="00974F5B"/>
    <w:rsid w:val="00975C3B"/>
    <w:rsid w:val="00992995"/>
    <w:rsid w:val="00993037"/>
    <w:rsid w:val="00994102"/>
    <w:rsid w:val="00995C38"/>
    <w:rsid w:val="00997A66"/>
    <w:rsid w:val="009A2CB0"/>
    <w:rsid w:val="009A2E9B"/>
    <w:rsid w:val="009A3A4B"/>
    <w:rsid w:val="009A67EC"/>
    <w:rsid w:val="009B403A"/>
    <w:rsid w:val="009C31DD"/>
    <w:rsid w:val="009C47E7"/>
    <w:rsid w:val="009E6BCD"/>
    <w:rsid w:val="009E6F38"/>
    <w:rsid w:val="009F2703"/>
    <w:rsid w:val="00A040EF"/>
    <w:rsid w:val="00A07BBD"/>
    <w:rsid w:val="00A105E3"/>
    <w:rsid w:val="00A12304"/>
    <w:rsid w:val="00A13135"/>
    <w:rsid w:val="00A14C74"/>
    <w:rsid w:val="00A15A9F"/>
    <w:rsid w:val="00A24593"/>
    <w:rsid w:val="00A26314"/>
    <w:rsid w:val="00A33010"/>
    <w:rsid w:val="00A349A2"/>
    <w:rsid w:val="00A36193"/>
    <w:rsid w:val="00A36428"/>
    <w:rsid w:val="00A43E7F"/>
    <w:rsid w:val="00A50450"/>
    <w:rsid w:val="00A559C6"/>
    <w:rsid w:val="00A574E6"/>
    <w:rsid w:val="00A7361D"/>
    <w:rsid w:val="00A83B9D"/>
    <w:rsid w:val="00A919DB"/>
    <w:rsid w:val="00AA1E02"/>
    <w:rsid w:val="00AA2E21"/>
    <w:rsid w:val="00AA3011"/>
    <w:rsid w:val="00AA304F"/>
    <w:rsid w:val="00AD024F"/>
    <w:rsid w:val="00AD0622"/>
    <w:rsid w:val="00AE049B"/>
    <w:rsid w:val="00AE27C0"/>
    <w:rsid w:val="00AE2957"/>
    <w:rsid w:val="00AF0219"/>
    <w:rsid w:val="00AF4C22"/>
    <w:rsid w:val="00AF6562"/>
    <w:rsid w:val="00B04243"/>
    <w:rsid w:val="00B05FAD"/>
    <w:rsid w:val="00B110A2"/>
    <w:rsid w:val="00B13E8C"/>
    <w:rsid w:val="00B16FFA"/>
    <w:rsid w:val="00B179A5"/>
    <w:rsid w:val="00B21EBB"/>
    <w:rsid w:val="00B279AC"/>
    <w:rsid w:val="00B341BB"/>
    <w:rsid w:val="00B37D8D"/>
    <w:rsid w:val="00B40E55"/>
    <w:rsid w:val="00B50927"/>
    <w:rsid w:val="00B5268B"/>
    <w:rsid w:val="00B567AB"/>
    <w:rsid w:val="00B736F2"/>
    <w:rsid w:val="00B75D07"/>
    <w:rsid w:val="00B775C8"/>
    <w:rsid w:val="00B81501"/>
    <w:rsid w:val="00B82533"/>
    <w:rsid w:val="00B84BAB"/>
    <w:rsid w:val="00B852D5"/>
    <w:rsid w:val="00B90C8F"/>
    <w:rsid w:val="00B91E92"/>
    <w:rsid w:val="00B9720A"/>
    <w:rsid w:val="00BA0A14"/>
    <w:rsid w:val="00BA55FE"/>
    <w:rsid w:val="00BB49A6"/>
    <w:rsid w:val="00BC46CD"/>
    <w:rsid w:val="00BC5E7F"/>
    <w:rsid w:val="00BD21D4"/>
    <w:rsid w:val="00BD4C48"/>
    <w:rsid w:val="00BD537A"/>
    <w:rsid w:val="00BD55EF"/>
    <w:rsid w:val="00BD57AE"/>
    <w:rsid w:val="00BD60D1"/>
    <w:rsid w:val="00BD729F"/>
    <w:rsid w:val="00BD7960"/>
    <w:rsid w:val="00BE74E8"/>
    <w:rsid w:val="00BF04EA"/>
    <w:rsid w:val="00BF1207"/>
    <w:rsid w:val="00BF4450"/>
    <w:rsid w:val="00C1530C"/>
    <w:rsid w:val="00C166C3"/>
    <w:rsid w:val="00C2173F"/>
    <w:rsid w:val="00C243B0"/>
    <w:rsid w:val="00C259E7"/>
    <w:rsid w:val="00C25D36"/>
    <w:rsid w:val="00C26D6B"/>
    <w:rsid w:val="00C33825"/>
    <w:rsid w:val="00C342F0"/>
    <w:rsid w:val="00C379AA"/>
    <w:rsid w:val="00C4034F"/>
    <w:rsid w:val="00C564E0"/>
    <w:rsid w:val="00C61234"/>
    <w:rsid w:val="00C61754"/>
    <w:rsid w:val="00C64378"/>
    <w:rsid w:val="00C67B99"/>
    <w:rsid w:val="00C82D42"/>
    <w:rsid w:val="00C87DBA"/>
    <w:rsid w:val="00CA09EE"/>
    <w:rsid w:val="00CA1F22"/>
    <w:rsid w:val="00CA5249"/>
    <w:rsid w:val="00CA674F"/>
    <w:rsid w:val="00CC0ECE"/>
    <w:rsid w:val="00CC73E7"/>
    <w:rsid w:val="00CD67D0"/>
    <w:rsid w:val="00CE31ED"/>
    <w:rsid w:val="00CE5EDB"/>
    <w:rsid w:val="00CF33D5"/>
    <w:rsid w:val="00CF588C"/>
    <w:rsid w:val="00D02BF2"/>
    <w:rsid w:val="00D06920"/>
    <w:rsid w:val="00D136F6"/>
    <w:rsid w:val="00D13CD6"/>
    <w:rsid w:val="00D16C80"/>
    <w:rsid w:val="00D20532"/>
    <w:rsid w:val="00D20ED9"/>
    <w:rsid w:val="00D23A3A"/>
    <w:rsid w:val="00D34B57"/>
    <w:rsid w:val="00D368BD"/>
    <w:rsid w:val="00D3789B"/>
    <w:rsid w:val="00D40197"/>
    <w:rsid w:val="00D4049C"/>
    <w:rsid w:val="00D503B6"/>
    <w:rsid w:val="00D54859"/>
    <w:rsid w:val="00D56391"/>
    <w:rsid w:val="00D57AAC"/>
    <w:rsid w:val="00D606E5"/>
    <w:rsid w:val="00D702DD"/>
    <w:rsid w:val="00D717CC"/>
    <w:rsid w:val="00D74710"/>
    <w:rsid w:val="00D8514D"/>
    <w:rsid w:val="00D93088"/>
    <w:rsid w:val="00D9446C"/>
    <w:rsid w:val="00D9754E"/>
    <w:rsid w:val="00DB3CFF"/>
    <w:rsid w:val="00DB663D"/>
    <w:rsid w:val="00DB76F8"/>
    <w:rsid w:val="00DC133D"/>
    <w:rsid w:val="00DC264D"/>
    <w:rsid w:val="00DC680A"/>
    <w:rsid w:val="00DD1684"/>
    <w:rsid w:val="00DD3E4C"/>
    <w:rsid w:val="00DD5FE9"/>
    <w:rsid w:val="00DD7895"/>
    <w:rsid w:val="00DE2807"/>
    <w:rsid w:val="00DE2FD0"/>
    <w:rsid w:val="00DE3E3E"/>
    <w:rsid w:val="00E00DBC"/>
    <w:rsid w:val="00E014FD"/>
    <w:rsid w:val="00E02F87"/>
    <w:rsid w:val="00E05848"/>
    <w:rsid w:val="00E05B48"/>
    <w:rsid w:val="00E10BC2"/>
    <w:rsid w:val="00E10CEA"/>
    <w:rsid w:val="00E13B31"/>
    <w:rsid w:val="00E21D6B"/>
    <w:rsid w:val="00E25A91"/>
    <w:rsid w:val="00E27A9F"/>
    <w:rsid w:val="00E302DD"/>
    <w:rsid w:val="00E31E7C"/>
    <w:rsid w:val="00E45C5B"/>
    <w:rsid w:val="00E470D1"/>
    <w:rsid w:val="00E50801"/>
    <w:rsid w:val="00E529EC"/>
    <w:rsid w:val="00E52D39"/>
    <w:rsid w:val="00E5584A"/>
    <w:rsid w:val="00E56841"/>
    <w:rsid w:val="00E62DCB"/>
    <w:rsid w:val="00E6429D"/>
    <w:rsid w:val="00E70F70"/>
    <w:rsid w:val="00E80796"/>
    <w:rsid w:val="00E81B15"/>
    <w:rsid w:val="00E832A0"/>
    <w:rsid w:val="00E84F7B"/>
    <w:rsid w:val="00E85917"/>
    <w:rsid w:val="00E87AAB"/>
    <w:rsid w:val="00E9148E"/>
    <w:rsid w:val="00EB68F7"/>
    <w:rsid w:val="00EB7118"/>
    <w:rsid w:val="00EB75B7"/>
    <w:rsid w:val="00EC0A0C"/>
    <w:rsid w:val="00ED1B64"/>
    <w:rsid w:val="00ED738D"/>
    <w:rsid w:val="00EF0477"/>
    <w:rsid w:val="00EF4601"/>
    <w:rsid w:val="00F055EA"/>
    <w:rsid w:val="00F07211"/>
    <w:rsid w:val="00F1403F"/>
    <w:rsid w:val="00F21807"/>
    <w:rsid w:val="00F23227"/>
    <w:rsid w:val="00F273FE"/>
    <w:rsid w:val="00F36AEA"/>
    <w:rsid w:val="00F3704F"/>
    <w:rsid w:val="00F408F6"/>
    <w:rsid w:val="00F42BE6"/>
    <w:rsid w:val="00F43201"/>
    <w:rsid w:val="00F43C07"/>
    <w:rsid w:val="00F4546B"/>
    <w:rsid w:val="00F542AA"/>
    <w:rsid w:val="00F57026"/>
    <w:rsid w:val="00F57447"/>
    <w:rsid w:val="00F57B2A"/>
    <w:rsid w:val="00F57B8E"/>
    <w:rsid w:val="00F709E3"/>
    <w:rsid w:val="00F75E0A"/>
    <w:rsid w:val="00F77F84"/>
    <w:rsid w:val="00F82874"/>
    <w:rsid w:val="00F9410B"/>
    <w:rsid w:val="00FA2383"/>
    <w:rsid w:val="00FB4939"/>
    <w:rsid w:val="00FB525D"/>
    <w:rsid w:val="00FB74FB"/>
    <w:rsid w:val="00FB7D10"/>
    <w:rsid w:val="00FC14C3"/>
    <w:rsid w:val="00FC5ACA"/>
    <w:rsid w:val="00FD0008"/>
    <w:rsid w:val="00FD0EE1"/>
    <w:rsid w:val="00FD323E"/>
    <w:rsid w:val="00FD3BF7"/>
    <w:rsid w:val="00FD6437"/>
    <w:rsid w:val="00FD7EE4"/>
    <w:rsid w:val="00FE0F36"/>
    <w:rsid w:val="00FE2F90"/>
    <w:rsid w:val="00FE5075"/>
    <w:rsid w:val="00FF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3148"/>
    <w:rPr>
      <w:b/>
      <w:bCs/>
    </w:rPr>
  </w:style>
  <w:style w:type="paragraph" w:styleId="BalloonText">
    <w:name w:val="Balloon Text"/>
    <w:basedOn w:val="Normal"/>
    <w:link w:val="BalloonTextChar"/>
    <w:uiPriority w:val="99"/>
    <w:semiHidden/>
    <w:unhideWhenUsed/>
    <w:rsid w:val="007E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48"/>
    <w:rPr>
      <w:rFonts w:ascii="Tahoma" w:hAnsi="Tahoma" w:cs="Tahoma"/>
      <w:sz w:val="16"/>
      <w:szCs w:val="16"/>
    </w:rPr>
  </w:style>
  <w:style w:type="paragraph" w:styleId="BodyText">
    <w:name w:val="Body Text"/>
    <w:basedOn w:val="Normal"/>
    <w:link w:val="BodyTextChar"/>
    <w:rsid w:val="009A3A4B"/>
    <w:pPr>
      <w:spacing w:after="220" w:line="220" w:lineRule="atLeast"/>
      <w:jc w:val="both"/>
    </w:pPr>
    <w:rPr>
      <w:rFonts w:ascii="Arial" w:eastAsia="Batang" w:hAnsi="Arial" w:cs="Times New Roman"/>
      <w:spacing w:val="-5"/>
      <w:sz w:val="20"/>
      <w:szCs w:val="20"/>
    </w:rPr>
  </w:style>
  <w:style w:type="character" w:customStyle="1" w:styleId="BodyTextChar">
    <w:name w:val="Body Text Char"/>
    <w:basedOn w:val="DefaultParagraphFont"/>
    <w:link w:val="BodyText"/>
    <w:rsid w:val="009A3A4B"/>
    <w:rPr>
      <w:rFonts w:ascii="Arial" w:eastAsia="Batang" w:hAnsi="Arial" w:cs="Times New Roman"/>
      <w:spacing w:val="-5"/>
      <w:sz w:val="20"/>
      <w:szCs w:val="20"/>
    </w:rPr>
  </w:style>
  <w:style w:type="paragraph" w:styleId="ListParagraph">
    <w:name w:val="List Paragraph"/>
    <w:basedOn w:val="Normal"/>
    <w:uiPriority w:val="34"/>
    <w:qFormat/>
    <w:rsid w:val="009A3A4B"/>
    <w:pPr>
      <w:ind w:left="720"/>
      <w:contextualSpacing/>
    </w:pPr>
  </w:style>
  <w:style w:type="paragraph" w:customStyle="1" w:styleId="Objective">
    <w:name w:val="Objective"/>
    <w:basedOn w:val="Normal"/>
    <w:next w:val="BodyText"/>
    <w:rsid w:val="00D34B57"/>
    <w:pPr>
      <w:spacing w:before="240" w:after="220" w:line="220" w:lineRule="atLeast"/>
    </w:pPr>
    <w:rPr>
      <w:rFonts w:ascii="Arial" w:eastAsia="Batang"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3148"/>
    <w:rPr>
      <w:b/>
      <w:bCs/>
    </w:rPr>
  </w:style>
  <w:style w:type="paragraph" w:styleId="BalloonText">
    <w:name w:val="Balloon Text"/>
    <w:basedOn w:val="Normal"/>
    <w:link w:val="BalloonTextChar"/>
    <w:uiPriority w:val="99"/>
    <w:semiHidden/>
    <w:unhideWhenUsed/>
    <w:rsid w:val="007E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48"/>
    <w:rPr>
      <w:rFonts w:ascii="Tahoma" w:hAnsi="Tahoma" w:cs="Tahoma"/>
      <w:sz w:val="16"/>
      <w:szCs w:val="16"/>
    </w:rPr>
  </w:style>
  <w:style w:type="paragraph" w:styleId="BodyText">
    <w:name w:val="Body Text"/>
    <w:basedOn w:val="Normal"/>
    <w:link w:val="BodyTextChar"/>
    <w:rsid w:val="009A3A4B"/>
    <w:pPr>
      <w:spacing w:after="220" w:line="220" w:lineRule="atLeast"/>
      <w:jc w:val="both"/>
    </w:pPr>
    <w:rPr>
      <w:rFonts w:ascii="Arial" w:eastAsia="Batang" w:hAnsi="Arial" w:cs="Times New Roman"/>
      <w:spacing w:val="-5"/>
      <w:sz w:val="20"/>
      <w:szCs w:val="20"/>
    </w:rPr>
  </w:style>
  <w:style w:type="character" w:customStyle="1" w:styleId="BodyTextChar">
    <w:name w:val="Body Text Char"/>
    <w:basedOn w:val="DefaultParagraphFont"/>
    <w:link w:val="BodyText"/>
    <w:rsid w:val="009A3A4B"/>
    <w:rPr>
      <w:rFonts w:ascii="Arial" w:eastAsia="Batang" w:hAnsi="Arial" w:cs="Times New Roman"/>
      <w:spacing w:val="-5"/>
      <w:sz w:val="20"/>
      <w:szCs w:val="20"/>
    </w:rPr>
  </w:style>
  <w:style w:type="paragraph" w:styleId="ListParagraph">
    <w:name w:val="List Paragraph"/>
    <w:basedOn w:val="Normal"/>
    <w:uiPriority w:val="34"/>
    <w:qFormat/>
    <w:rsid w:val="009A3A4B"/>
    <w:pPr>
      <w:ind w:left="720"/>
      <w:contextualSpacing/>
    </w:pPr>
  </w:style>
  <w:style w:type="paragraph" w:customStyle="1" w:styleId="Objective">
    <w:name w:val="Objective"/>
    <w:basedOn w:val="Normal"/>
    <w:next w:val="BodyText"/>
    <w:rsid w:val="00D34B57"/>
    <w:pPr>
      <w:spacing w:before="240" w:after="220" w:line="220" w:lineRule="atLeast"/>
    </w:pPr>
    <w:rPr>
      <w:rFonts w:ascii="Arial" w:eastAsia="Batang"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043">
      <w:bodyDiv w:val="1"/>
      <w:marLeft w:val="0"/>
      <w:marRight w:val="0"/>
      <w:marTop w:val="0"/>
      <w:marBottom w:val="0"/>
      <w:divBdr>
        <w:top w:val="none" w:sz="0" w:space="0" w:color="auto"/>
        <w:left w:val="none" w:sz="0" w:space="0" w:color="auto"/>
        <w:bottom w:val="none" w:sz="0" w:space="0" w:color="auto"/>
        <w:right w:val="none" w:sz="0" w:space="0" w:color="auto"/>
      </w:divBdr>
    </w:div>
    <w:div w:id="18692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search?search=&amp;company=Plymouth+Opportunity+REIT%2CInc%2E&amp;sortCriteria=R&amp;keepFacets=true&amp;trk=prof-exp-company-name" TargetMode="External"/><Relationship Id="rId13" Type="http://schemas.openxmlformats.org/officeDocument/2006/relationships/hyperlink" Target="http://www.linkedin.com/search?search=&amp;title=Chief+Financial+Officer&amp;sortCriteria=R&amp;keepFacets=true&amp;currentTitle=CP&amp;trk=prof-exp-title" TargetMode="External"/><Relationship Id="rId18" Type="http://schemas.openxmlformats.org/officeDocument/2006/relationships/hyperlink" Target="http://www.linkedin.com/edu/school?id=18519&amp;trk=prof-edu-school-nam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linkedin.com/search?search=&amp;title=Independent+Director%2FChairman+of+the+Audit+Committee&amp;sortCriteria=R&amp;keepFacets=true&amp;currentTitle=CP&amp;trk=prof-exp-title" TargetMode="External"/><Relationship Id="rId12" Type="http://schemas.openxmlformats.org/officeDocument/2006/relationships/hyperlink" Target="http://www.linkedin.com/search?search=&amp;company=Berkshire+Development+LLC&amp;sortCriteria=R&amp;keepFacets=true&amp;trk=prof-exp-company-name" TargetMode="External"/><Relationship Id="rId17" Type="http://schemas.openxmlformats.org/officeDocument/2006/relationships/hyperlink" Target="http://www.linkedin.com/edu/school?id=18520&amp;trk=prof-edu-school-name" TargetMode="External"/><Relationship Id="rId2" Type="http://schemas.openxmlformats.org/officeDocument/2006/relationships/styles" Target="styles.xml"/><Relationship Id="rId16" Type="http://schemas.openxmlformats.org/officeDocument/2006/relationships/hyperlink" Target="http://www.linkedin.com/search?search=&amp;company=Boston+Properties&amp;sortCriteria=R&amp;keepFacets=true&amp;trk=prof-exp-company-na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kedin.com/search?search=&amp;title=CFO&amp;sortCriteria=R&amp;keepFacets=true&amp;currentTitle=CP&amp;trk=prof-exp-title" TargetMode="External"/><Relationship Id="rId5" Type="http://schemas.openxmlformats.org/officeDocument/2006/relationships/webSettings" Target="webSettings.xml"/><Relationship Id="rId15" Type="http://schemas.openxmlformats.org/officeDocument/2006/relationships/hyperlink" Target="http://www.linkedin.com/search?search=&amp;title=Chief+Financial+Officer&amp;sortCriteria=R&amp;keepFacets=true&amp;currentTitle=CP&amp;trk=prof-exp-title" TargetMode="External"/><Relationship Id="rId10" Type="http://schemas.openxmlformats.org/officeDocument/2006/relationships/hyperlink" Target="http://www.linkedin.com/search?search=&amp;company=Pyramid+Hotels+%26+Resorts%2C+Inc%2E&amp;sortCriteria=R&amp;keepFacets=true&amp;trk=prof-exp-company-name" TargetMode="External"/><Relationship Id="rId19" Type="http://schemas.openxmlformats.org/officeDocument/2006/relationships/hyperlink" Target="http://www.linkedin.com/search?search=&amp;keywords=Accounting&amp;sortCriteria=R&amp;keepFacets=true&amp;trk=prof-edu-field_of_study" TargetMode="External"/><Relationship Id="rId4" Type="http://schemas.openxmlformats.org/officeDocument/2006/relationships/settings" Target="settings.xml"/><Relationship Id="rId9" Type="http://schemas.openxmlformats.org/officeDocument/2006/relationships/hyperlink" Target="http://www.linkedin.com/search?search=&amp;title=Chief+Financial+Officer&amp;sortCriteria=R&amp;keepFacets=true&amp;currentTitle=CP&amp;trk=prof-exp-title" TargetMode="External"/><Relationship Id="rId14" Type="http://schemas.openxmlformats.org/officeDocument/2006/relationships/hyperlink" Target="http://www.linkedin.com/search?search=&amp;company=Heritage+Property+Investment+Trust&amp;sortCriteria=R&amp;keepFacets=true&amp;trk=prof-exp-company-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Yebba</dc:creator>
  <cp:lastModifiedBy>Alfred Yebba</cp:lastModifiedBy>
  <cp:revision>3</cp:revision>
  <dcterms:created xsi:type="dcterms:W3CDTF">2014-02-06T18:48:00Z</dcterms:created>
  <dcterms:modified xsi:type="dcterms:W3CDTF">2014-02-06T19:06:00Z</dcterms:modified>
</cp:coreProperties>
</file>